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 xml:space="preserve">09.1-09.15 </w:t>
      </w:r>
      <w:proofErr w:type="gramStart"/>
      <w:r w:rsidR="00D02FF4">
        <w:rPr>
          <w:b w:val="0"/>
          <w:sz w:val="22"/>
          <w:szCs w:val="22"/>
        </w:rPr>
        <w:t>Early</w:t>
      </w:r>
      <w:proofErr w:type="gramEnd"/>
      <w:r w:rsidR="00D02FF4">
        <w:rPr>
          <w:b w:val="0"/>
          <w:sz w:val="22"/>
          <w:szCs w:val="22"/>
        </w:rPr>
        <w:t xml:space="preserve"> years</w:t>
      </w:r>
      <w:r>
        <w:rPr>
          <w:b w:val="0"/>
          <w:sz w:val="22"/>
          <w:szCs w:val="22"/>
        </w:rPr>
        <w:t xml:space="preserve"> practice</w:t>
      </w:r>
      <w:r w:rsidRPr="0049232B">
        <w:rPr>
          <w:b w:val="0"/>
          <w:sz w:val="22"/>
          <w:szCs w:val="22"/>
        </w:rPr>
        <w:t xml:space="preserve">, this policy was adopted by </w:t>
      </w:r>
      <w:r w:rsidR="005E5676">
        <w:rPr>
          <w:b w:val="0"/>
          <w:i/>
          <w:iCs/>
          <w:sz w:val="22"/>
          <w:szCs w:val="22"/>
        </w:rPr>
        <w:t>Fountains Playgroup &amp; Pre-School.</w:t>
      </w:r>
    </w:p>
    <w:p w:rsidR="009D08F3" w:rsidRDefault="00C83538" w:rsidP="00706CD4">
      <w:pPr>
        <w:pStyle w:val="Heading1"/>
        <w:spacing w:before="120" w:after="120" w:line="360" w:lineRule="auto"/>
        <w:rPr>
          <w:sz w:val="22"/>
          <w:szCs w:val="22"/>
        </w:rPr>
      </w:pPr>
      <w:r>
        <w:rPr>
          <w:sz w:val="22"/>
          <w:szCs w:val="22"/>
        </w:rPr>
        <w:t>Aim</w:t>
      </w:r>
    </w:p>
    <w:p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There is a procedure for</w:t>
      </w:r>
      <w:r w:rsidR="00C83538">
        <w:rPr>
          <w:rFonts w:ascii="Arial" w:hAnsi="Arial" w:cs="Arial"/>
          <w:sz w:val="22"/>
          <w:szCs w:val="22"/>
        </w:rPr>
        <w:t xml:space="preserve"> when children do not </w:t>
      </w:r>
      <w:r w:rsidRPr="007C7BA5">
        <w:rPr>
          <w:rFonts w:ascii="Arial" w:hAnsi="Arial" w:cs="Arial"/>
          <w:sz w:val="22"/>
          <w:szCs w:val="22"/>
        </w:rPr>
        <w:t>settl</w:t>
      </w:r>
      <w:r w:rsidR="00C83538">
        <w:rPr>
          <w:rFonts w:ascii="Arial" w:hAnsi="Arial" w:cs="Arial"/>
          <w:sz w:val="22"/>
          <w:szCs w:val="22"/>
        </w:rPr>
        <w:t xml:space="preserve">e and for </w:t>
      </w:r>
      <w:r w:rsidRPr="007C7BA5">
        <w:rPr>
          <w:rFonts w:ascii="Arial" w:hAnsi="Arial" w:cs="Arial"/>
          <w:sz w:val="22"/>
          <w:szCs w:val="22"/>
        </w:rPr>
        <w:t>prolonged absences.</w:t>
      </w:r>
    </w:p>
    <w:p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lastRenderedPageBreak/>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rsidR="00B16FEC" w:rsidRPr="005E5676" w:rsidRDefault="00B16FEC" w:rsidP="00706CD4">
      <w:pPr>
        <w:numPr>
          <w:ilvl w:val="0"/>
          <w:numId w:val="44"/>
        </w:numPr>
        <w:spacing w:before="120" w:after="120" w:line="360" w:lineRule="auto"/>
        <w:ind w:left="363"/>
        <w:rPr>
          <w:rFonts w:ascii="Arial" w:hAnsi="Arial" w:cs="Arial"/>
          <w:b/>
          <w:sz w:val="22"/>
          <w:szCs w:val="22"/>
        </w:rPr>
      </w:pPr>
      <w:r w:rsidRPr="005E5676">
        <w:rPr>
          <w:rFonts w:ascii="Arial" w:hAnsi="Arial" w:cs="Arial"/>
          <w:sz w:val="22"/>
          <w:szCs w:val="22"/>
        </w:rPr>
        <w:t>Where the number of children wanting places exceeds the number of places available a waiting list is operated using clear criteria for allocation of places as detailed in</w:t>
      </w:r>
      <w:r w:rsidR="00687953" w:rsidRPr="005E5676">
        <w:rPr>
          <w:rFonts w:ascii="Arial" w:hAnsi="Arial" w:cs="Arial"/>
          <w:sz w:val="22"/>
          <w:szCs w:val="22"/>
        </w:rPr>
        <w:t xml:space="preserve"> section 09.1</w:t>
      </w:r>
      <w:r w:rsidRPr="005E5676">
        <w:rPr>
          <w:rFonts w:ascii="Arial" w:hAnsi="Arial" w:cs="Arial"/>
          <w:sz w:val="22"/>
          <w:szCs w:val="22"/>
        </w:rPr>
        <w:t xml:space="preserve"> </w:t>
      </w:r>
      <w:r w:rsidR="00687953" w:rsidRPr="005E5676">
        <w:rPr>
          <w:rFonts w:ascii="Arial" w:hAnsi="Arial" w:cs="Arial"/>
          <w:sz w:val="22"/>
          <w:szCs w:val="22"/>
        </w:rPr>
        <w:t>W</w:t>
      </w:r>
      <w:r w:rsidRPr="005E5676">
        <w:rPr>
          <w:rFonts w:ascii="Arial" w:hAnsi="Arial" w:cs="Arial"/>
          <w:sz w:val="22"/>
          <w:szCs w:val="22"/>
        </w:rPr>
        <w:t xml:space="preserve">aiting </w:t>
      </w:r>
      <w:proofErr w:type="gramStart"/>
      <w:r w:rsidRPr="005E5676">
        <w:rPr>
          <w:rFonts w:ascii="Arial" w:hAnsi="Arial" w:cs="Arial"/>
          <w:sz w:val="22"/>
          <w:szCs w:val="22"/>
        </w:rPr>
        <w:t>list</w:t>
      </w:r>
      <w:proofErr w:type="gramEnd"/>
      <w:r w:rsidR="00687953" w:rsidRPr="005E5676">
        <w:rPr>
          <w:rFonts w:ascii="Arial" w:hAnsi="Arial" w:cs="Arial"/>
          <w:sz w:val="22"/>
          <w:szCs w:val="22"/>
        </w:rPr>
        <w:t xml:space="preserve"> and admissions</w:t>
      </w:r>
      <w:r w:rsidRPr="005E5676">
        <w:rPr>
          <w:rFonts w:ascii="Arial" w:hAnsi="Arial" w:cs="Arial"/>
          <w:sz w:val="22"/>
          <w:szCs w:val="22"/>
        </w:rPr>
        <w:t xml:space="preserve"> procedure.</w:t>
      </w:r>
      <w:r w:rsidR="005E5676">
        <w:rPr>
          <w:rFonts w:ascii="Arial" w:hAnsi="Arial" w:cs="Arial"/>
          <w:sz w:val="22"/>
          <w:szCs w:val="22"/>
        </w:rPr>
        <w:t xml:space="preserve">                                                                                                                                           </w:t>
      </w:r>
      <w:r w:rsidRPr="005E5676">
        <w:rPr>
          <w:rFonts w:ascii="Arial" w:hAnsi="Arial" w:cs="Arial"/>
          <w:b/>
          <w:sz w:val="22"/>
          <w:szCs w:val="22"/>
        </w:rPr>
        <w:t>Funded places – free entitlement</w:t>
      </w:r>
    </w:p>
    <w:p w:rsidR="009D08F3" w:rsidRPr="007C7BA5" w:rsidRDefault="00B16FEC" w:rsidP="005E5676">
      <w:pPr>
        <w:spacing w:before="120" w:after="120" w:line="360" w:lineRule="auto"/>
        <w:rPr>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r w:rsidR="005E5676">
        <w:rPr>
          <w:rFonts w:ascii="Arial" w:hAnsi="Arial" w:cs="Arial"/>
          <w:sz w:val="22"/>
          <w:szCs w:val="22"/>
        </w:rPr>
        <w:t xml:space="preserve">                                                                                                                </w:t>
      </w:r>
      <w:r w:rsidR="009D08F3" w:rsidRPr="005E5676">
        <w:rPr>
          <w:b/>
          <w:sz w:val="22"/>
          <w:szCs w:val="22"/>
        </w:rPr>
        <w:t>Legal References</w:t>
      </w:r>
    </w:p>
    <w:p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p w:rsidR="005E5676" w:rsidRDefault="005E5676" w:rsidP="00706CD4">
      <w:pPr>
        <w:spacing w:before="120" w:after="120" w:line="360" w:lineRule="auto"/>
        <w:rPr>
          <w:rFonts w:ascii="Arial" w:hAnsi="Arial" w:cs="Arial"/>
          <w:sz w:val="22"/>
          <w:szCs w:val="22"/>
        </w:rPr>
      </w:pPr>
      <w:r>
        <w:rPr>
          <w:rFonts w:ascii="Arial" w:hAnsi="Arial" w:cs="Arial"/>
          <w:sz w:val="22"/>
          <w:szCs w:val="22"/>
        </w:rPr>
        <w:t xml:space="preserve">Policy adopted by Fountains Playgroup &amp; Pre-School, June25 </w:t>
      </w:r>
    </w:p>
    <w:p w:rsidR="005E5676" w:rsidRDefault="005E5676" w:rsidP="00706CD4">
      <w:pPr>
        <w:spacing w:before="120" w:after="120" w:line="360" w:lineRule="auto"/>
        <w:rPr>
          <w:rFonts w:ascii="Arial" w:hAnsi="Arial" w:cs="Arial"/>
          <w:sz w:val="22"/>
          <w:szCs w:val="22"/>
        </w:rPr>
      </w:pPr>
      <w:r>
        <w:rPr>
          <w:rFonts w:ascii="Arial" w:hAnsi="Arial" w:cs="Arial"/>
          <w:sz w:val="22"/>
          <w:szCs w:val="22"/>
        </w:rPr>
        <w:t xml:space="preserve">To be reviewed July 26 </w:t>
      </w:r>
    </w:p>
    <w:sectPr w:rsidR="005E5676" w:rsidSect="000E6FD6">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DC" w:rsidRDefault="00703BDC" w:rsidP="00E07382">
      <w:r>
        <w:separator/>
      </w:r>
    </w:p>
  </w:endnote>
  <w:endnote w:type="continuationSeparator" w:id="0">
    <w:p w:rsidR="00703BDC" w:rsidRDefault="00703BDC" w:rsidP="00E07382">
      <w:r>
        <w:continuationSeparator/>
      </w:r>
    </w:p>
  </w:endnote>
  <w:endnote w:type="continuationNotice" w:id="1">
    <w:p w:rsidR="00703BDC" w:rsidRDefault="00703BD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04" w:rsidRPr="00A33AF5" w:rsidRDefault="00A33AF5" w:rsidP="00A33AF5">
    <w:pPr>
      <w:pStyle w:val="Footer"/>
    </w:pPr>
    <w:r w:rsidRPr="00A33AF5">
      <w:rPr>
        <w:rFonts w:ascii="Arial" w:hAnsi="Arial" w:cs="Arial"/>
        <w:i/>
        <w:iCs/>
        <w:sz w:val="20"/>
        <w:szCs w:val="20"/>
      </w:rPr>
      <w:t>Policies &amp; Procedures for the EYFS 2024/25 (Early Years Alliance 2024)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DC" w:rsidRDefault="00703BDC" w:rsidP="00E07382">
      <w:r>
        <w:separator/>
      </w:r>
    </w:p>
  </w:footnote>
  <w:footnote w:type="continuationSeparator" w:id="0">
    <w:p w:rsidR="00703BDC" w:rsidRDefault="00703BDC" w:rsidP="00E07382">
      <w:r>
        <w:continuationSeparator/>
      </w:r>
    </w:p>
  </w:footnote>
  <w:footnote w:type="continuationNotice" w:id="1">
    <w:p w:rsidR="00703BDC" w:rsidRDefault="00703B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3314"/>
  </w:hdrShapeDefaults>
  <w:footnotePr>
    <w:footnote w:id="-1"/>
    <w:footnote w:id="0"/>
    <w:footnote w:id="1"/>
  </w:footnotePr>
  <w:endnotePr>
    <w:endnote w:id="-1"/>
    <w:endnote w:id="0"/>
    <w:endnote w:id="1"/>
  </w:endnotePr>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6966"/>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1811"/>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4D8"/>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36052"/>
    <w:rsid w:val="00342B57"/>
    <w:rsid w:val="003501D2"/>
    <w:rsid w:val="0035576A"/>
    <w:rsid w:val="00356B46"/>
    <w:rsid w:val="003603E2"/>
    <w:rsid w:val="00364BEB"/>
    <w:rsid w:val="00365417"/>
    <w:rsid w:val="0036695B"/>
    <w:rsid w:val="003702F7"/>
    <w:rsid w:val="003768C5"/>
    <w:rsid w:val="00377C30"/>
    <w:rsid w:val="0038526D"/>
    <w:rsid w:val="00387FA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3F411F"/>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567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BDC"/>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58E9"/>
    <w:rsid w:val="00C10F0E"/>
    <w:rsid w:val="00C11C61"/>
    <w:rsid w:val="00C134C7"/>
    <w:rsid w:val="00C21C8B"/>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C6E87"/>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AAF"/>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9CE3FDE"/>
    <w:rsid w:val="49E04C86"/>
    <w:rsid w:val="4CD60275"/>
    <w:rsid w:val="544CA0AA"/>
    <w:rsid w:val="6F122838"/>
    <w:rsid w:val="7C0C1C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D29B4BDE-161F-45F2-A111-527EBEA6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4008</Characters>
  <Application>Microsoft Office Word</Application>
  <DocSecurity>0</DocSecurity>
  <Lines>33</Lines>
  <Paragraphs>9</Paragraphs>
  <ScaleCrop>false</ScaleCrop>
  <Company>Hewlett-Packard Company</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Nursery Admin</cp:lastModifiedBy>
  <cp:revision>2</cp:revision>
  <cp:lastPrinted>2025-06-17T14:14:00Z</cp:lastPrinted>
  <dcterms:created xsi:type="dcterms:W3CDTF">2025-10-06T15:55:00Z</dcterms:created>
  <dcterms:modified xsi:type="dcterms:W3CDTF">2025-10-06T15:55:00Z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